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938" w:rsidRDefault="00F50938">
      <w:pPr>
        <w:pStyle w:val="ConsPlusTitlePage"/>
      </w:pPr>
      <w:bookmarkStart w:id="0" w:name="_GoBack"/>
      <w:bookmarkEnd w:id="0"/>
    </w:p>
    <w:p w:rsidR="00F50938" w:rsidRDefault="00F50938">
      <w:pPr>
        <w:pStyle w:val="ConsPlusNormal"/>
        <w:jc w:val="both"/>
        <w:outlineLvl w:val="0"/>
      </w:pPr>
    </w:p>
    <w:p w:rsidR="00F50938" w:rsidRDefault="00F5093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50938" w:rsidRDefault="00F50938">
      <w:pPr>
        <w:pStyle w:val="ConsPlusTitle"/>
        <w:jc w:val="center"/>
      </w:pPr>
    </w:p>
    <w:p w:rsidR="00F50938" w:rsidRDefault="00F50938">
      <w:pPr>
        <w:pStyle w:val="ConsPlusTitle"/>
        <w:jc w:val="center"/>
      </w:pPr>
      <w:r>
        <w:t>ПОСТАНОВЛЕНИЕ</w:t>
      </w:r>
    </w:p>
    <w:p w:rsidR="00F50938" w:rsidRDefault="00F50938">
      <w:pPr>
        <w:pStyle w:val="ConsPlusTitle"/>
        <w:jc w:val="center"/>
      </w:pPr>
      <w:r>
        <w:t>от 11 декабря 2024 г. N 1752</w:t>
      </w:r>
    </w:p>
    <w:p w:rsidR="00F50938" w:rsidRDefault="00F50938">
      <w:pPr>
        <w:pStyle w:val="ConsPlusTitle"/>
        <w:jc w:val="center"/>
      </w:pPr>
    </w:p>
    <w:p w:rsidR="00F50938" w:rsidRDefault="00F50938">
      <w:pPr>
        <w:pStyle w:val="ConsPlusTitle"/>
        <w:jc w:val="center"/>
      </w:pPr>
      <w:r>
        <w:t>О ПОРЯДКЕ</w:t>
      </w:r>
    </w:p>
    <w:p w:rsidR="00F50938" w:rsidRDefault="00F50938">
      <w:pPr>
        <w:pStyle w:val="ConsPlusTitle"/>
        <w:jc w:val="center"/>
      </w:pPr>
      <w:r>
        <w:t>ПЕРЕЧИСЛЕНИЯ В 2025 ГОДУ СРЕДСТВ, ПОДЛЕЖАЩИХ КАЗНАЧЕЙСКОМУ</w:t>
      </w:r>
    </w:p>
    <w:p w:rsidR="00F50938" w:rsidRDefault="00F50938">
      <w:pPr>
        <w:pStyle w:val="ConsPlusTitle"/>
        <w:jc w:val="center"/>
      </w:pPr>
      <w:r>
        <w:t>СОПРОВОЖДЕНИЮ, НА РАСЧЕТНЫЕ СЧЕТА, ОТКРЫТЫЕ</w:t>
      </w:r>
    </w:p>
    <w:p w:rsidR="00F50938" w:rsidRDefault="00F50938">
      <w:pPr>
        <w:pStyle w:val="ConsPlusTitle"/>
        <w:jc w:val="center"/>
      </w:pPr>
      <w:r>
        <w:t>В КРЕДИТНЫХ ОРГАНИЗАЦИЯХ</w:t>
      </w:r>
    </w:p>
    <w:p w:rsidR="00F50938" w:rsidRDefault="00F50938">
      <w:pPr>
        <w:pStyle w:val="ConsPlusNormal"/>
        <w:jc w:val="both"/>
      </w:pPr>
    </w:p>
    <w:p w:rsidR="00F50938" w:rsidRDefault="00F5093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50938" w:rsidRDefault="00F50938">
      <w:pPr>
        <w:pStyle w:val="ConsPlusNormal"/>
        <w:spacing w:before="220"/>
        <w:ind w:firstLine="540"/>
        <w:jc w:val="both"/>
      </w:pPr>
      <w:bookmarkStart w:id="1" w:name="P12"/>
      <w:bookmarkEnd w:id="1"/>
      <w:r>
        <w:t>1. 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 (далее соответственно - контракт (договор), государственный (муниципальный) контракт, контракт учреждения, соглашение (договор), указанных в </w:t>
      </w:r>
      <w:hyperlink r:id="rId4">
        <w:r>
          <w:rPr>
            <w:color w:val="0000FF"/>
          </w:rPr>
          <w:t>частях 2</w:t>
        </w:r>
      </w:hyperlink>
      <w:r>
        <w:t xml:space="preserve"> и </w:t>
      </w:r>
      <w:hyperlink r:id="rId5">
        <w:r>
          <w:rPr>
            <w:color w:val="0000FF"/>
          </w:rPr>
          <w:t>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году", осуществляется в 2025 году на расчетные счета, открытые в кредитных организациях поставщикам товаров, при представлении в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товаров документов, определенных нормативным правовым </w:t>
      </w:r>
      <w:hyperlink r:id="rId6">
        <w:r>
          <w:rPr>
            <w:color w:val="0000FF"/>
          </w:rPr>
          <w:t>актом</w:t>
        </w:r>
      </w:hyperlink>
      <w:r>
        <w:t xml:space="preserve"> Министерства финансов Российской Федерации в соответствии с </w:t>
      </w:r>
      <w:hyperlink r:id="rId7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 (далее - порядок санкционирования).</w:t>
      </w:r>
    </w:p>
    <w:p w:rsidR="00F50938" w:rsidRDefault="00F50938">
      <w:pPr>
        <w:pStyle w:val="ConsPlusNormal"/>
        <w:spacing w:before="220"/>
        <w:ind w:firstLine="540"/>
        <w:jc w:val="both"/>
      </w:pPr>
      <w:bookmarkStart w:id="2" w:name="P13"/>
      <w:bookmarkEnd w:id="2"/>
      <w:r>
        <w:t xml:space="preserve">2.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указанных в </w:t>
      </w:r>
      <w:hyperlink r:id="rId8">
        <w:r>
          <w:rPr>
            <w:color w:val="0000FF"/>
          </w:rPr>
          <w:t>частях 3</w:t>
        </w:r>
      </w:hyperlink>
      <w:r>
        <w:t xml:space="preserve"> и </w:t>
      </w:r>
      <w:hyperlink r:id="rId9">
        <w:r>
          <w:rPr>
            <w:color w:val="0000FF"/>
          </w:rPr>
          <w:t>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году", осуществляется в 2025 году на расчетные счета, открытые в кредитных организациях подрядчикам (исполнителям) по таким контрактам (договорам) (далее - подрядчики (исполнители),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 порядком санкционирования, а также сформированного подрядчиком (исполнителем) </w:t>
      </w:r>
      <w:hyperlink w:anchor="P34">
        <w:r>
          <w:rPr>
            <w:color w:val="0000FF"/>
          </w:rPr>
          <w:t>реестра</w:t>
        </w:r>
      </w:hyperlink>
      <w:r>
        <w:t xml:space="preserve">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приложению, указанные в документах, подтверждающих выполнение работ, оказание услуг, определенных порядком </w:t>
      </w:r>
      <w:r>
        <w:lastRenderedPageBreak/>
        <w:t>санкционирования.</w:t>
      </w:r>
    </w:p>
    <w:p w:rsidR="00F50938" w:rsidRDefault="00F50938">
      <w:pPr>
        <w:pStyle w:val="ConsPlusNormal"/>
        <w:spacing w:before="220"/>
        <w:ind w:firstLine="540"/>
        <w:jc w:val="both"/>
      </w:pPr>
      <w:r>
        <w:t>3.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F50938" w:rsidRDefault="00F50938">
      <w:pPr>
        <w:pStyle w:val="ConsPlusNormal"/>
        <w:spacing w:before="220"/>
        <w:ind w:firstLine="540"/>
        <w:jc w:val="both"/>
      </w:pPr>
      <w:r>
        <w:t xml:space="preserve">а) поставщикам товаров, указанным в </w:t>
      </w:r>
      <w:hyperlink w:anchor="P12">
        <w:r>
          <w:rPr>
            <w:color w:val="0000FF"/>
          </w:rPr>
          <w:t>пункте 1</w:t>
        </w:r>
      </w:hyperlink>
      <w: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F50938" w:rsidRDefault="00F50938">
      <w:pPr>
        <w:pStyle w:val="ConsPlusNormal"/>
        <w:spacing w:before="220"/>
        <w:ind w:firstLine="540"/>
        <w:jc w:val="both"/>
      </w:pPr>
      <w:r>
        <w:t xml:space="preserve">б) подрядчикам (исполнителям), указанным в </w:t>
      </w:r>
      <w:hyperlink w:anchor="P13">
        <w:r>
          <w:rPr>
            <w:color w:val="0000FF"/>
          </w:rPr>
          <w:t>пункте 2</w:t>
        </w:r>
      </w:hyperlink>
      <w:r>
        <w:t xml:space="preserve"> настоящего постановления, осуществляют проверку документов, подтверждающих выполнение работ, оказание услуг, определенных порядком санкционирования, а также наличия </w:t>
      </w:r>
      <w:hyperlink w:anchor="P34">
        <w:r>
          <w:rPr>
            <w:color w:val="0000FF"/>
          </w:rPr>
          <w:t>реестра</w:t>
        </w:r>
      </w:hyperlink>
      <w:r>
        <w:t xml:space="preserve"> документов, предусмотренного приложением к настоящему постановлению.</w:t>
      </w:r>
    </w:p>
    <w:p w:rsidR="00F50938" w:rsidRDefault="00F50938">
      <w:pPr>
        <w:pStyle w:val="ConsPlusNormal"/>
        <w:spacing w:before="220"/>
        <w:ind w:firstLine="540"/>
        <w:jc w:val="both"/>
      </w:pPr>
      <w:r>
        <w:t xml:space="preserve">4. 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10">
        <w:r>
          <w:rPr>
            <w:color w:val="0000FF"/>
          </w:rPr>
          <w:t>статьей 220.2</w:t>
        </w:r>
      </w:hyperlink>
      <w:r>
        <w:t xml:space="preserve"> Бюджетного кодекса Российской Федерации средств, определенных в соответствии со </w:t>
      </w:r>
      <w:hyperlink r:id="rId11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в случаях, установленных </w:t>
      </w:r>
      <w:hyperlink r:id="rId12">
        <w:r>
          <w:rPr>
            <w:color w:val="0000FF"/>
          </w:rPr>
          <w:t>частью 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году".</w:t>
      </w:r>
    </w:p>
    <w:p w:rsidR="00F50938" w:rsidRDefault="00F50938">
      <w:pPr>
        <w:pStyle w:val="ConsPlusNormal"/>
        <w:jc w:val="both"/>
      </w:pPr>
    </w:p>
    <w:p w:rsidR="00F50938" w:rsidRDefault="00F50938">
      <w:pPr>
        <w:pStyle w:val="ConsPlusNormal"/>
        <w:jc w:val="right"/>
      </w:pPr>
      <w:r>
        <w:t>Председатель Правительства</w:t>
      </w:r>
    </w:p>
    <w:p w:rsidR="00F50938" w:rsidRDefault="00F50938">
      <w:pPr>
        <w:pStyle w:val="ConsPlusNormal"/>
        <w:jc w:val="right"/>
      </w:pPr>
      <w:r>
        <w:t>Российской Федерации</w:t>
      </w:r>
    </w:p>
    <w:p w:rsidR="00F50938" w:rsidRDefault="00F50938">
      <w:pPr>
        <w:pStyle w:val="ConsPlusNormal"/>
        <w:jc w:val="right"/>
      </w:pPr>
      <w:r>
        <w:t>М.МИШУСТИН</w:t>
      </w:r>
    </w:p>
    <w:p w:rsidR="00F50938" w:rsidRDefault="00F50938">
      <w:pPr>
        <w:pStyle w:val="ConsPlusNormal"/>
        <w:jc w:val="both"/>
      </w:pPr>
    </w:p>
    <w:p w:rsidR="00F50938" w:rsidRDefault="00F50938">
      <w:pPr>
        <w:pStyle w:val="ConsPlusNormal"/>
        <w:jc w:val="both"/>
      </w:pPr>
    </w:p>
    <w:p w:rsidR="00F50938" w:rsidRDefault="00F50938">
      <w:pPr>
        <w:pStyle w:val="ConsPlusNormal"/>
        <w:jc w:val="both"/>
      </w:pPr>
    </w:p>
    <w:p w:rsidR="00F50938" w:rsidRDefault="00F50938">
      <w:pPr>
        <w:pStyle w:val="ConsPlusNormal"/>
        <w:jc w:val="both"/>
      </w:pPr>
    </w:p>
    <w:p w:rsidR="00F50938" w:rsidRDefault="00F50938">
      <w:pPr>
        <w:pStyle w:val="ConsPlusNormal"/>
        <w:jc w:val="both"/>
      </w:pPr>
    </w:p>
    <w:p w:rsidR="00F50938" w:rsidRDefault="00F50938">
      <w:pPr>
        <w:pStyle w:val="ConsPlusNormal"/>
        <w:jc w:val="right"/>
        <w:outlineLvl w:val="0"/>
      </w:pPr>
      <w:r>
        <w:t>Приложение</w:t>
      </w:r>
    </w:p>
    <w:p w:rsidR="00F50938" w:rsidRDefault="00F50938">
      <w:pPr>
        <w:pStyle w:val="ConsPlusNormal"/>
        <w:jc w:val="right"/>
      </w:pPr>
      <w:r>
        <w:t>к постановлению Правительства</w:t>
      </w:r>
    </w:p>
    <w:p w:rsidR="00F50938" w:rsidRDefault="00F50938">
      <w:pPr>
        <w:pStyle w:val="ConsPlusNormal"/>
        <w:jc w:val="right"/>
      </w:pPr>
      <w:r>
        <w:t>Российской Федерации</w:t>
      </w:r>
    </w:p>
    <w:p w:rsidR="00F50938" w:rsidRDefault="00F50938">
      <w:pPr>
        <w:pStyle w:val="ConsPlusNormal"/>
        <w:jc w:val="right"/>
      </w:pPr>
      <w:r>
        <w:t>от 11 декабря 2024 г. N 1752</w:t>
      </w:r>
    </w:p>
    <w:p w:rsidR="00F50938" w:rsidRDefault="00F50938">
      <w:pPr>
        <w:pStyle w:val="ConsPlusNormal"/>
        <w:jc w:val="both"/>
      </w:pPr>
    </w:p>
    <w:p w:rsidR="00F50938" w:rsidRDefault="00F50938">
      <w:pPr>
        <w:pStyle w:val="ConsPlusNormal"/>
        <w:jc w:val="right"/>
      </w:pPr>
      <w:r>
        <w:t>(форма)</w:t>
      </w:r>
    </w:p>
    <w:p w:rsidR="00F50938" w:rsidRDefault="00F5093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F50938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F50938" w:rsidRDefault="00F50938">
            <w:pPr>
              <w:pStyle w:val="ConsPlusNormal"/>
              <w:jc w:val="center"/>
            </w:pPr>
            <w:bookmarkStart w:id="3" w:name="P34"/>
            <w:bookmarkEnd w:id="3"/>
            <w:r>
              <w:t>РЕЕСТР</w:t>
            </w:r>
          </w:p>
          <w:p w:rsidR="00F50938" w:rsidRDefault="00F50938">
            <w:pPr>
              <w:pStyle w:val="ConsPlusNormal"/>
              <w:jc w:val="center"/>
            </w:pPr>
            <w: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</w:p>
          <w:p w:rsidR="00F50938" w:rsidRDefault="00F50938">
            <w:pPr>
              <w:pStyle w:val="ConsPlusNormal"/>
              <w:jc w:val="center"/>
            </w:pPr>
            <w:r>
              <w:t>N _______________________</w:t>
            </w:r>
          </w:p>
        </w:tc>
      </w:tr>
    </w:tbl>
    <w:p w:rsidR="00F50938" w:rsidRDefault="00F5093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2894"/>
        <w:gridCol w:w="2041"/>
        <w:gridCol w:w="1072"/>
      </w:tblGrid>
      <w:tr w:rsidR="00F50938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0938" w:rsidRDefault="00F50938">
            <w:pPr>
              <w:pStyle w:val="ConsPlusNormal"/>
              <w:jc w:val="center"/>
            </w:pPr>
            <w:r>
              <w:t>Коды</w:t>
            </w:r>
          </w:p>
        </w:tc>
      </w:tr>
      <w:tr w:rsidR="00F5093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F50938" w:rsidRDefault="00F5093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F50938" w:rsidRDefault="00F50938">
            <w:pPr>
              <w:pStyle w:val="ConsPlusNormal"/>
              <w:jc w:val="center"/>
            </w:pPr>
            <w:r>
              <w:t>от "__" 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50938" w:rsidRDefault="00F50938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</w:tr>
      <w:tr w:rsidR="00F5093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0938" w:rsidRDefault="00F50938">
            <w:pPr>
              <w:pStyle w:val="ConsPlusNormal"/>
            </w:pPr>
            <w:r>
              <w:lastRenderedPageBreak/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50938" w:rsidRDefault="00F50938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</w:tr>
      <w:tr w:rsidR="00F5093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50938" w:rsidRDefault="00F50938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</w:tr>
      <w:tr w:rsidR="00F5093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0938" w:rsidRDefault="00F50938">
            <w:pPr>
              <w:pStyle w:val="ConsPlusNormal"/>
            </w:pPr>
            <w: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50938" w:rsidRDefault="00F50938">
            <w:pPr>
              <w:pStyle w:val="ConsPlusNormal"/>
              <w:jc w:val="right"/>
            </w:pPr>
            <w:r>
              <w:t>Аналитический код раздела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</w:tr>
      <w:tr w:rsidR="00F5093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0938" w:rsidRDefault="00F50938">
            <w:pPr>
              <w:pStyle w:val="ConsPlusNormal"/>
            </w:pPr>
            <w: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50938" w:rsidRDefault="00F50938">
            <w:pPr>
              <w:pStyle w:val="ConsPlusNormal"/>
              <w:jc w:val="right"/>
            </w:pPr>
            <w: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</w:tr>
      <w:tr w:rsidR="00F5093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50938" w:rsidRDefault="00F50938">
            <w:pPr>
              <w:pStyle w:val="ConsPlusNormal"/>
              <w:jc w:val="right"/>
            </w:pPr>
            <w: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</w:tr>
      <w:tr w:rsidR="00F5093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50938" w:rsidRDefault="00F50938">
            <w:pPr>
              <w:pStyle w:val="ConsPlusNormal"/>
              <w:jc w:val="right"/>
            </w:pPr>
            <w: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</w:tr>
      <w:tr w:rsidR="00F50938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50938" w:rsidRDefault="00F50938">
            <w:pPr>
              <w:pStyle w:val="ConsPlusNormal"/>
            </w:pPr>
            <w: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50938" w:rsidRDefault="00F50938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</w:tr>
      <w:tr w:rsidR="00F50938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50938" w:rsidRDefault="00F5093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50938" w:rsidRDefault="00F50938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</w:tr>
      <w:tr w:rsidR="00F5093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50938" w:rsidRDefault="00F50938">
            <w:pPr>
              <w:pStyle w:val="ConsPlusNormal"/>
              <w:jc w:val="right"/>
            </w:pPr>
            <w: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</w:tr>
      <w:tr w:rsidR="00F50938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0938" w:rsidRDefault="00F50938">
            <w:pPr>
              <w:pStyle w:val="ConsPlusNormal"/>
            </w:pPr>
            <w: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50938" w:rsidRDefault="00F50938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0938" w:rsidRDefault="00F50938">
            <w:pPr>
              <w:pStyle w:val="ConsPlusNormal"/>
              <w:jc w:val="center"/>
            </w:pPr>
            <w:hyperlink r:id="rId13">
              <w:r>
                <w:rPr>
                  <w:color w:val="0000FF"/>
                </w:rPr>
                <w:t>383</w:t>
              </w:r>
            </w:hyperlink>
          </w:p>
        </w:tc>
      </w:tr>
    </w:tbl>
    <w:p w:rsidR="00F50938" w:rsidRDefault="00F5093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4238"/>
        <w:gridCol w:w="1411"/>
        <w:gridCol w:w="1411"/>
        <w:gridCol w:w="1247"/>
      </w:tblGrid>
      <w:tr w:rsidR="00F50938">
        <w:tc>
          <w:tcPr>
            <w:tcW w:w="710" w:type="dxa"/>
            <w:vMerge w:val="restart"/>
          </w:tcPr>
          <w:p w:rsidR="00F50938" w:rsidRDefault="00F5093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307" w:type="dxa"/>
            <w:gridSpan w:val="4"/>
          </w:tcPr>
          <w:p w:rsidR="00F50938" w:rsidRDefault="00F50938">
            <w:pPr>
              <w:pStyle w:val="ConsPlusNormal"/>
              <w:jc w:val="center"/>
            </w:pPr>
            <w: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128">
              <w:r>
                <w:rPr>
                  <w:color w:val="0000FF"/>
                </w:rPr>
                <w:t>&lt;*&gt;</w:t>
              </w:r>
            </w:hyperlink>
          </w:p>
        </w:tc>
      </w:tr>
      <w:tr w:rsidR="00F50938">
        <w:tc>
          <w:tcPr>
            <w:tcW w:w="710" w:type="dxa"/>
            <w:vMerge/>
          </w:tcPr>
          <w:p w:rsidR="00F50938" w:rsidRDefault="00F50938">
            <w:pPr>
              <w:pStyle w:val="ConsPlusNormal"/>
            </w:pPr>
          </w:p>
        </w:tc>
        <w:tc>
          <w:tcPr>
            <w:tcW w:w="4238" w:type="dxa"/>
          </w:tcPr>
          <w:p w:rsidR="00F50938" w:rsidRDefault="00F50938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411" w:type="dxa"/>
          </w:tcPr>
          <w:p w:rsidR="00F50938" w:rsidRDefault="00F50938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411" w:type="dxa"/>
          </w:tcPr>
          <w:p w:rsidR="00F50938" w:rsidRDefault="00F50938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47" w:type="dxa"/>
          </w:tcPr>
          <w:p w:rsidR="00F50938" w:rsidRDefault="00F50938">
            <w:pPr>
              <w:pStyle w:val="ConsPlusNormal"/>
              <w:jc w:val="center"/>
            </w:pPr>
            <w:r>
              <w:t>сумма</w:t>
            </w:r>
          </w:p>
        </w:tc>
      </w:tr>
      <w:tr w:rsidR="00F50938">
        <w:tc>
          <w:tcPr>
            <w:tcW w:w="710" w:type="dxa"/>
          </w:tcPr>
          <w:p w:rsidR="00F50938" w:rsidRDefault="00F5093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38" w:type="dxa"/>
          </w:tcPr>
          <w:p w:rsidR="00F50938" w:rsidRDefault="00F50938">
            <w:pPr>
              <w:pStyle w:val="ConsPlusNormal"/>
              <w:jc w:val="center"/>
            </w:pPr>
            <w:bookmarkStart w:id="4" w:name="P90"/>
            <w:bookmarkEnd w:id="4"/>
            <w:r>
              <w:t>2</w:t>
            </w:r>
          </w:p>
        </w:tc>
        <w:tc>
          <w:tcPr>
            <w:tcW w:w="1411" w:type="dxa"/>
          </w:tcPr>
          <w:p w:rsidR="00F50938" w:rsidRDefault="00F5093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1" w:type="dxa"/>
          </w:tcPr>
          <w:p w:rsidR="00F50938" w:rsidRDefault="00F50938">
            <w:pPr>
              <w:pStyle w:val="ConsPlusNormal"/>
              <w:jc w:val="center"/>
            </w:pPr>
            <w:bookmarkStart w:id="5" w:name="P92"/>
            <w:bookmarkEnd w:id="5"/>
            <w:r>
              <w:t>4</w:t>
            </w:r>
          </w:p>
        </w:tc>
        <w:tc>
          <w:tcPr>
            <w:tcW w:w="1247" w:type="dxa"/>
          </w:tcPr>
          <w:p w:rsidR="00F50938" w:rsidRDefault="00F50938">
            <w:pPr>
              <w:pStyle w:val="ConsPlusNormal"/>
              <w:jc w:val="center"/>
            </w:pPr>
            <w:bookmarkStart w:id="6" w:name="P93"/>
            <w:bookmarkEnd w:id="6"/>
            <w:r>
              <w:t>5</w:t>
            </w:r>
          </w:p>
        </w:tc>
      </w:tr>
      <w:tr w:rsidR="00F50938">
        <w:tc>
          <w:tcPr>
            <w:tcW w:w="710" w:type="dxa"/>
          </w:tcPr>
          <w:p w:rsidR="00F50938" w:rsidRDefault="00F50938">
            <w:pPr>
              <w:pStyle w:val="ConsPlusNormal"/>
            </w:pPr>
          </w:p>
        </w:tc>
        <w:tc>
          <w:tcPr>
            <w:tcW w:w="4238" w:type="dxa"/>
          </w:tcPr>
          <w:p w:rsidR="00F50938" w:rsidRDefault="00F50938">
            <w:pPr>
              <w:pStyle w:val="ConsPlusNormal"/>
            </w:pPr>
          </w:p>
        </w:tc>
        <w:tc>
          <w:tcPr>
            <w:tcW w:w="1411" w:type="dxa"/>
          </w:tcPr>
          <w:p w:rsidR="00F50938" w:rsidRDefault="00F50938">
            <w:pPr>
              <w:pStyle w:val="ConsPlusNormal"/>
            </w:pPr>
          </w:p>
        </w:tc>
        <w:tc>
          <w:tcPr>
            <w:tcW w:w="1411" w:type="dxa"/>
          </w:tcPr>
          <w:p w:rsidR="00F50938" w:rsidRDefault="00F50938">
            <w:pPr>
              <w:pStyle w:val="ConsPlusNormal"/>
            </w:pPr>
          </w:p>
        </w:tc>
        <w:tc>
          <w:tcPr>
            <w:tcW w:w="1247" w:type="dxa"/>
          </w:tcPr>
          <w:p w:rsidR="00F50938" w:rsidRDefault="00F50938">
            <w:pPr>
              <w:pStyle w:val="ConsPlusNormal"/>
            </w:pPr>
          </w:p>
        </w:tc>
      </w:tr>
    </w:tbl>
    <w:p w:rsidR="00F50938" w:rsidRDefault="00F5093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1587"/>
        <w:gridCol w:w="340"/>
        <w:gridCol w:w="1684"/>
        <w:gridCol w:w="340"/>
        <w:gridCol w:w="1984"/>
      </w:tblGrid>
      <w:tr w:rsidR="00F5093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0938" w:rsidRDefault="00F50938">
            <w:pPr>
              <w:pStyle w:val="ConsPlusNormal"/>
            </w:pPr>
            <w:r>
              <w:t>Руководитель подрядчика (исполнителя) по контракту (договору)</w:t>
            </w:r>
          </w:p>
          <w:p w:rsidR="00F50938" w:rsidRDefault="00F50938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0938" w:rsidRDefault="00F5093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0938" w:rsidRDefault="00F50938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0938" w:rsidRDefault="00F5093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0938" w:rsidRDefault="00F50938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0938" w:rsidRDefault="00F50938">
            <w:pPr>
              <w:pStyle w:val="ConsPlusNormal"/>
            </w:pPr>
          </w:p>
        </w:tc>
      </w:tr>
      <w:tr w:rsidR="00F5093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0938" w:rsidRDefault="00F50938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0938" w:rsidRDefault="00F5093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0938" w:rsidRDefault="00F50938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0938" w:rsidRDefault="00F5093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0938" w:rsidRDefault="00F50938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0938" w:rsidRDefault="00F50938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F5093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0938" w:rsidRDefault="00F50938">
            <w:pPr>
              <w:pStyle w:val="ConsPlusNormal"/>
            </w:pPr>
            <w:r>
              <w:t>Руководитель заказчика по контракту (договору)</w:t>
            </w:r>
          </w:p>
          <w:p w:rsidR="00F50938" w:rsidRDefault="00F50938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0938" w:rsidRDefault="00F5093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0938" w:rsidRDefault="00F50938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0938" w:rsidRDefault="00F5093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0938" w:rsidRDefault="00F50938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0938" w:rsidRDefault="00F50938">
            <w:pPr>
              <w:pStyle w:val="ConsPlusNormal"/>
            </w:pPr>
          </w:p>
        </w:tc>
      </w:tr>
      <w:tr w:rsidR="00F5093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50938" w:rsidRDefault="00F50938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0938" w:rsidRDefault="00F5093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0938" w:rsidRDefault="00F50938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0938" w:rsidRDefault="00F5093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0938" w:rsidRDefault="00F50938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0938" w:rsidRDefault="00F50938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F50938" w:rsidRDefault="00F50938">
      <w:pPr>
        <w:pStyle w:val="ConsPlusNormal"/>
        <w:jc w:val="both"/>
      </w:pPr>
    </w:p>
    <w:p w:rsidR="00F50938" w:rsidRDefault="00F50938">
      <w:pPr>
        <w:pStyle w:val="ConsPlusNormal"/>
        <w:ind w:firstLine="540"/>
        <w:jc w:val="both"/>
      </w:pPr>
      <w:r>
        <w:t>--------------------------------</w:t>
      </w:r>
    </w:p>
    <w:p w:rsidR="00F50938" w:rsidRDefault="00F50938">
      <w:pPr>
        <w:pStyle w:val="ConsPlusNormal"/>
        <w:spacing w:before="220"/>
        <w:ind w:firstLine="540"/>
        <w:jc w:val="both"/>
      </w:pPr>
      <w:bookmarkStart w:id="7" w:name="P128"/>
      <w:bookmarkEnd w:id="7"/>
      <w:r>
        <w:lastRenderedPageBreak/>
        <w:t>&lt;*&gt; В случае если подрядчик (исполнитель):</w:t>
      </w:r>
    </w:p>
    <w:p w:rsidR="00F50938" w:rsidRDefault="00F50938">
      <w:pPr>
        <w:pStyle w:val="ConsPlusNormal"/>
        <w:spacing w:before="220"/>
        <w:ind w:firstLine="540"/>
        <w:jc w:val="both"/>
      </w:pPr>
      <w: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90">
        <w:r>
          <w:rPr>
            <w:color w:val="0000FF"/>
          </w:rPr>
          <w:t>графах 2</w:t>
        </w:r>
      </w:hyperlink>
      <w:r>
        <w:t xml:space="preserve">, </w:t>
      </w:r>
      <w:hyperlink w:anchor="P92">
        <w:r>
          <w:rPr>
            <w:color w:val="0000FF"/>
          </w:rPr>
          <w:t>4</w:t>
        </w:r>
      </w:hyperlink>
      <w:r>
        <w:t xml:space="preserve"> и </w:t>
      </w:r>
      <w:hyperlink w:anchor="P93">
        <w:r>
          <w:rPr>
            <w:color w:val="0000FF"/>
          </w:rPr>
          <w:t>5</w:t>
        </w:r>
      </w:hyperlink>
      <w: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(договору), предусмотренного порядком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утвержденным Министерством финансов Российской Федерации в соответствии с </w:t>
      </w:r>
      <w:hyperlink r:id="rId14">
        <w:r>
          <w:rPr>
            <w:color w:val="0000FF"/>
          </w:rPr>
          <w:t>подпунктом "д" пункта 10</w:t>
        </w:r>
      </w:hyperlink>
      <w:r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 "О правилах казначейского сопровождения", в части отражения наименования формы, даты ее формирования и суммы (без представления подрядчиком (исполнителем) в территориальный орган Федерального казначейства указанного расчета накладных расходов);</w:t>
      </w:r>
    </w:p>
    <w:p w:rsidR="00F50938" w:rsidRDefault="00F50938">
      <w:pPr>
        <w:pStyle w:val="ConsPlusNormal"/>
        <w:spacing w:before="220"/>
        <w:ind w:firstLine="540"/>
        <w:jc w:val="both"/>
      </w:pPr>
      <w: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денежных обязательств подрядчика (исполнителя), установленных порядком санкционирования операций со средствами участников казначейского сопровождения, утвержденным Министерством финансов Российской Федерации в соответствии с </w:t>
      </w:r>
      <w:hyperlink r:id="rId15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Федерации.</w:t>
      </w:r>
    </w:p>
    <w:p w:rsidR="00F50938" w:rsidRDefault="00F50938">
      <w:pPr>
        <w:pStyle w:val="ConsPlusNormal"/>
        <w:jc w:val="both"/>
      </w:pPr>
    </w:p>
    <w:p w:rsidR="00F50938" w:rsidRDefault="00F50938">
      <w:pPr>
        <w:pStyle w:val="ConsPlusNormal"/>
        <w:jc w:val="both"/>
      </w:pPr>
    </w:p>
    <w:p w:rsidR="00F50938" w:rsidRDefault="00F5093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3E7E" w:rsidRDefault="00DF3E7E"/>
    <w:sectPr w:rsidR="00DF3E7E" w:rsidSect="00523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938"/>
    <w:rsid w:val="00DF3E7E"/>
    <w:rsid w:val="00F5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889DC9-B7A9-429C-9A10-45255BFC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093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5093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5093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464&amp;dst=100117" TargetMode="External"/><Relationship Id="rId13" Type="http://schemas.openxmlformats.org/officeDocument/2006/relationships/hyperlink" Target="https://login.consultant.ru/link/?req=doc&amp;base=LAW&amp;n=495935&amp;dst=10191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66790&amp;dst=6760" TargetMode="External"/><Relationship Id="rId12" Type="http://schemas.openxmlformats.org/officeDocument/2006/relationships/hyperlink" Target="https://login.consultant.ru/link/?req=doc&amp;base=LAW&amp;n=494464&amp;dst=100120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7849&amp;dst=100011" TargetMode="External"/><Relationship Id="rId11" Type="http://schemas.openxmlformats.org/officeDocument/2006/relationships/hyperlink" Target="https://login.consultant.ru/link/?req=doc&amp;base=LAW&amp;n=466790&amp;dst=6774" TargetMode="External"/><Relationship Id="rId5" Type="http://schemas.openxmlformats.org/officeDocument/2006/relationships/hyperlink" Target="https://login.consultant.ru/link/?req=doc&amp;base=LAW&amp;n=494464&amp;dst=100118" TargetMode="External"/><Relationship Id="rId15" Type="http://schemas.openxmlformats.org/officeDocument/2006/relationships/hyperlink" Target="https://login.consultant.ru/link/?req=doc&amp;base=LAW&amp;n=466790&amp;dst=6760" TargetMode="External"/><Relationship Id="rId10" Type="http://schemas.openxmlformats.org/officeDocument/2006/relationships/hyperlink" Target="https://login.consultant.ru/link/?req=doc&amp;base=LAW&amp;n=466790&amp;dst=6027" TargetMode="External"/><Relationship Id="rId4" Type="http://schemas.openxmlformats.org/officeDocument/2006/relationships/hyperlink" Target="https://login.consultant.ru/link/?req=doc&amp;base=LAW&amp;n=494464&amp;dst=100116" TargetMode="External"/><Relationship Id="rId9" Type="http://schemas.openxmlformats.org/officeDocument/2006/relationships/hyperlink" Target="https://login.consultant.ru/link/?req=doc&amp;base=LAW&amp;n=494464&amp;dst=100118" TargetMode="External"/><Relationship Id="rId14" Type="http://schemas.openxmlformats.org/officeDocument/2006/relationships/hyperlink" Target="https://login.consultant.ru/link/?req=doc&amp;base=LAW&amp;n=493157&amp;dst=1000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1462</Words>
  <Characters>8338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Подгорная Татьяна Михайловна</dc:creator>
  <cp:keywords/>
  <dc:description/>
  <cp:lastModifiedBy>Подгорная Татьяна Михайловна</cp:lastModifiedBy>
  <cp:revision>1</cp:revision>
  <dcterms:created xsi:type="dcterms:W3CDTF">2025-02-12T14:12:00Z</dcterms:created>
  <dcterms:modified xsi:type="dcterms:W3CDTF">2025-02-12T14:13:00Z</dcterms:modified>
</cp:coreProperties>
</file>