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E17" w:rsidRDefault="00CE3E17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CE3E17" w:rsidRDefault="00CE3E17">
      <w:pPr>
        <w:pStyle w:val="ConsPlusNormal"/>
        <w:outlineLvl w:val="0"/>
      </w:pPr>
    </w:p>
    <w:p w:rsidR="00CE3E17" w:rsidRDefault="00CE3E17">
      <w:pPr>
        <w:pStyle w:val="ConsPlusTitle"/>
        <w:jc w:val="center"/>
        <w:outlineLvl w:val="0"/>
      </w:pPr>
      <w:r>
        <w:t>МИНИСТЕРСТВО ФИНАНСОВ РОССИЙСКОЙ ФЕДЕРАЦИИ</w:t>
      </w:r>
    </w:p>
    <w:p w:rsidR="00CE3E17" w:rsidRDefault="00CE3E17">
      <w:pPr>
        <w:pStyle w:val="ConsPlusTitle"/>
        <w:jc w:val="center"/>
      </w:pPr>
    </w:p>
    <w:p w:rsidR="00CE3E17" w:rsidRDefault="00CE3E17">
      <w:pPr>
        <w:pStyle w:val="ConsPlusTitle"/>
        <w:jc w:val="center"/>
      </w:pPr>
      <w:r>
        <w:t>ФЕДЕРАЛЬНОЕ КАЗНАЧЕЙСТВО</w:t>
      </w:r>
    </w:p>
    <w:p w:rsidR="00CE3E17" w:rsidRDefault="00CE3E17">
      <w:pPr>
        <w:pStyle w:val="ConsPlusTitle"/>
        <w:jc w:val="center"/>
      </w:pPr>
    </w:p>
    <w:p w:rsidR="00CE3E17" w:rsidRDefault="00CE3E17">
      <w:pPr>
        <w:pStyle w:val="ConsPlusTitle"/>
        <w:jc w:val="center"/>
      </w:pPr>
      <w:r>
        <w:t>ПИСЬМО</w:t>
      </w:r>
    </w:p>
    <w:p w:rsidR="00CE3E17" w:rsidRDefault="00CE3E17">
      <w:pPr>
        <w:pStyle w:val="ConsPlusTitle"/>
        <w:jc w:val="center"/>
      </w:pPr>
      <w:r>
        <w:t>от 28 марта 2016 г. N 07-04-05/02-210</w:t>
      </w:r>
    </w:p>
    <w:p w:rsidR="00CE3E17" w:rsidRDefault="00CE3E17">
      <w:pPr>
        <w:pStyle w:val="ConsPlusNormal"/>
        <w:ind w:firstLine="540"/>
        <w:jc w:val="both"/>
      </w:pPr>
    </w:p>
    <w:p w:rsidR="00CE3E17" w:rsidRDefault="00CE3E17">
      <w:pPr>
        <w:pStyle w:val="ConsPlusNormal"/>
        <w:ind w:firstLine="540"/>
        <w:jc w:val="both"/>
      </w:pPr>
      <w:r>
        <w:t>Федеральное казначейство в целях обеспечения корректного отражения в казначейском учете территориальных органов Федерального казначейства (далее - ТОФК) операций по передаче (принятию) учетных данных при реорганизации (ликвидации) бюджетных (автономных) учреждений (далее - клиенты), переводе их на обслуживание из одного ТОФК в другой сообщает следующее.</w:t>
      </w:r>
    </w:p>
    <w:p w:rsidR="00CE3E17" w:rsidRDefault="00CE3E17">
      <w:pPr>
        <w:pStyle w:val="ConsPlusNormal"/>
        <w:spacing w:before="220"/>
        <w:ind w:firstLine="540"/>
        <w:jc w:val="both"/>
      </w:pPr>
      <w:r>
        <w:t xml:space="preserve">Отражение в казначейском учете ТОФК операций по передаче (принятию) показателей лицевых счетов клиентов при их реорганизации (ликвидации), переводе на обслуживание из одного ТОФК в другой осуществляется на основании </w:t>
      </w:r>
      <w:hyperlink r:id="rId6" w:history="1">
        <w:r>
          <w:rPr>
            <w:color w:val="0000FF"/>
          </w:rPr>
          <w:t>Акта</w:t>
        </w:r>
      </w:hyperlink>
      <w:r>
        <w:t xml:space="preserve"> приемки-передачи показателей лицевого счета, открытого организации, бюджетному (автономному) учреждению (ф. 0531961) (далее - Акт приемки-передачи), утвержденного приказом Федерального казначейства от 02.09.2015 N 24н "О Порядке открытия и ведения лицевых счетов территориальными органами Федерального казначейства", с применением бухгалтерских записей, представленных в </w:t>
      </w:r>
      <w:hyperlink w:anchor="P23" w:history="1">
        <w:r>
          <w:rPr>
            <w:color w:val="0000FF"/>
          </w:rPr>
          <w:t>приложении</w:t>
        </w:r>
      </w:hyperlink>
      <w:r>
        <w:t xml:space="preserve"> к письму.</w:t>
      </w:r>
    </w:p>
    <w:p w:rsidR="00CE3E17" w:rsidRDefault="00CE3E17">
      <w:pPr>
        <w:pStyle w:val="ConsPlusNormal"/>
        <w:spacing w:before="220"/>
        <w:ind w:firstLine="540"/>
        <w:jc w:val="both"/>
      </w:pPr>
      <w:r>
        <w:t>При наличии остатков денежных средств на лицевых счетах клиентов ТОФК, передающий показатели лицевых счетов, осуществляет перечисление остатков денежных средств со счета, открытого ему на балансовом счете N 40501 "Счета организаций, находящихся в федеральной собственности. Финансовые организации" в подразделении Банка России (далее - счет N 40501), на соответствующий счет N 40501, открытый ТОФК, принимающему показатели лицевых счетов. Платежные поручения на перечисление (зачисление) остатков денежных средств на лицевых счетах не подлежат оформлению бухгалтерскими записями.</w:t>
      </w:r>
    </w:p>
    <w:p w:rsidR="00CE3E17" w:rsidRDefault="00CE3E17">
      <w:pPr>
        <w:pStyle w:val="ConsPlusNormal"/>
        <w:spacing w:before="220"/>
        <w:ind w:firstLine="540"/>
        <w:jc w:val="both"/>
      </w:pPr>
      <w:r>
        <w:t xml:space="preserve">При этом отражение в казначейском учете ТОФК, передающего (принимающего) показатели лицевых счетов на основании </w:t>
      </w:r>
      <w:hyperlink r:id="rId7" w:history="1">
        <w:r>
          <w:rPr>
            <w:color w:val="0000FF"/>
          </w:rPr>
          <w:t>Акта</w:t>
        </w:r>
      </w:hyperlink>
      <w:r>
        <w:t xml:space="preserve"> приемки-передачи, необходимо осуществлять датой перечисления (зачисления) остатков денежных средств с лицевых счетов (на лицевые счета) клиентов.</w:t>
      </w:r>
    </w:p>
    <w:p w:rsidR="00CE3E17" w:rsidRDefault="00CE3E17">
      <w:pPr>
        <w:pStyle w:val="ConsPlusNormal"/>
        <w:ind w:firstLine="540"/>
        <w:jc w:val="both"/>
      </w:pPr>
    </w:p>
    <w:p w:rsidR="00CE3E17" w:rsidRDefault="00CE3E17">
      <w:pPr>
        <w:pStyle w:val="ConsPlusNormal"/>
        <w:jc w:val="right"/>
      </w:pPr>
      <w:r>
        <w:t>Р.Е.АРТЮХИН</w:t>
      </w:r>
    </w:p>
    <w:p w:rsidR="00CE3E17" w:rsidRDefault="00CE3E17">
      <w:pPr>
        <w:pStyle w:val="ConsPlusNormal"/>
        <w:jc w:val="both"/>
      </w:pPr>
    </w:p>
    <w:p w:rsidR="00CE3E17" w:rsidRDefault="00CE3E17">
      <w:pPr>
        <w:pStyle w:val="ConsPlusNormal"/>
        <w:jc w:val="both"/>
      </w:pPr>
    </w:p>
    <w:p w:rsidR="00CE3E17" w:rsidRDefault="00CE3E17">
      <w:pPr>
        <w:pStyle w:val="ConsPlusNormal"/>
        <w:jc w:val="both"/>
      </w:pPr>
    </w:p>
    <w:p w:rsidR="00CE3E17" w:rsidRDefault="00CE3E17">
      <w:pPr>
        <w:pStyle w:val="ConsPlusNormal"/>
        <w:jc w:val="both"/>
      </w:pPr>
    </w:p>
    <w:p w:rsidR="00CE3E17" w:rsidRDefault="00CE3E17">
      <w:pPr>
        <w:pStyle w:val="ConsPlusNormal"/>
        <w:jc w:val="both"/>
      </w:pPr>
    </w:p>
    <w:p w:rsidR="00CE3E17" w:rsidRDefault="00CE3E17">
      <w:pPr>
        <w:sectPr w:rsidR="00CE3E17" w:rsidSect="00D1246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E3E17" w:rsidRDefault="00CE3E17">
      <w:pPr>
        <w:pStyle w:val="ConsPlusNormal"/>
        <w:jc w:val="right"/>
        <w:outlineLvl w:val="0"/>
      </w:pPr>
      <w:r>
        <w:t>Приложение</w:t>
      </w:r>
    </w:p>
    <w:p w:rsidR="00CE3E17" w:rsidRDefault="00CE3E17">
      <w:pPr>
        <w:pStyle w:val="ConsPlusNormal"/>
        <w:jc w:val="right"/>
      </w:pPr>
      <w:r>
        <w:t>к письму Федерального казначейства</w:t>
      </w:r>
    </w:p>
    <w:p w:rsidR="00CE3E17" w:rsidRDefault="00CE3E17">
      <w:pPr>
        <w:pStyle w:val="ConsPlusNormal"/>
        <w:jc w:val="right"/>
      </w:pPr>
      <w:r>
        <w:t>от __________ N ______</w:t>
      </w:r>
    </w:p>
    <w:p w:rsidR="00CE3E17" w:rsidRDefault="00CE3E17">
      <w:pPr>
        <w:pStyle w:val="ConsPlusNormal"/>
        <w:jc w:val="both"/>
      </w:pPr>
    </w:p>
    <w:p w:rsidR="00CE3E17" w:rsidRDefault="00CE3E17">
      <w:pPr>
        <w:pStyle w:val="ConsPlusNormal"/>
        <w:jc w:val="center"/>
      </w:pPr>
      <w:bookmarkStart w:id="0" w:name="P23"/>
      <w:bookmarkEnd w:id="0"/>
      <w:r>
        <w:t>БУХГАЛТЕРСКИЕ ЗАПИСИ ТОФК</w:t>
      </w:r>
    </w:p>
    <w:p w:rsidR="00CE3E17" w:rsidRDefault="00CE3E17">
      <w:pPr>
        <w:pStyle w:val="ConsPlusNormal"/>
        <w:jc w:val="center"/>
      </w:pPr>
      <w:r>
        <w:t>ПО ОПЕРАЦИЯМ ПЕРЕДАЧИ (ПРИНЯТИЮ) УЧЕТНЫХ ДАННЫХ</w:t>
      </w:r>
    </w:p>
    <w:p w:rsidR="00CE3E17" w:rsidRDefault="00CE3E17">
      <w:pPr>
        <w:pStyle w:val="ConsPlusNormal"/>
        <w:jc w:val="center"/>
      </w:pPr>
      <w:r>
        <w:t>ЛИЦЕВЫХ СЧЕТОВ БЮДЖЕТНЫХ (АВТОНОМНЫХ) УЧРЕЖДЕНИЙ ПРИ ИХ</w:t>
      </w:r>
    </w:p>
    <w:p w:rsidR="00CE3E17" w:rsidRDefault="00CE3E17">
      <w:pPr>
        <w:pStyle w:val="ConsPlusNormal"/>
        <w:jc w:val="center"/>
      </w:pPr>
      <w:r>
        <w:t>РЕОРГАНИЗАЦИИ (ЛИКВИДАЦИИ), ПЕРЕВОДЕ НА ОБСЛУЖИВАНИЕ</w:t>
      </w:r>
    </w:p>
    <w:p w:rsidR="00CE3E17" w:rsidRDefault="00CE3E17">
      <w:pPr>
        <w:pStyle w:val="ConsPlusNormal"/>
        <w:jc w:val="center"/>
      </w:pPr>
      <w:r>
        <w:t>ИЗ ОДНОГО ТОФК В ДРУГОЙ</w:t>
      </w:r>
    </w:p>
    <w:p w:rsidR="00CE3E17" w:rsidRDefault="00CE3E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4"/>
        <w:gridCol w:w="4334"/>
        <w:gridCol w:w="2352"/>
        <w:gridCol w:w="2352"/>
      </w:tblGrid>
      <w:tr w:rsidR="00CE3E17">
        <w:tc>
          <w:tcPr>
            <w:tcW w:w="594" w:type="dxa"/>
          </w:tcPr>
          <w:p w:rsidR="00CE3E17" w:rsidRDefault="00CE3E17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334" w:type="dxa"/>
          </w:tcPr>
          <w:p w:rsidR="00CE3E17" w:rsidRDefault="00CE3E17">
            <w:pPr>
              <w:pStyle w:val="ConsPlusNormal"/>
              <w:jc w:val="center"/>
            </w:pPr>
            <w:r>
              <w:t>Содержание операции</w:t>
            </w:r>
          </w:p>
        </w:tc>
        <w:tc>
          <w:tcPr>
            <w:tcW w:w="2352" w:type="dxa"/>
          </w:tcPr>
          <w:p w:rsidR="00CE3E17" w:rsidRDefault="00CE3E17">
            <w:pPr>
              <w:pStyle w:val="ConsPlusNormal"/>
              <w:jc w:val="center"/>
            </w:pPr>
            <w:r>
              <w:t>Дебет</w:t>
            </w:r>
          </w:p>
        </w:tc>
        <w:tc>
          <w:tcPr>
            <w:tcW w:w="2352" w:type="dxa"/>
          </w:tcPr>
          <w:p w:rsidR="00CE3E17" w:rsidRDefault="00CE3E17">
            <w:pPr>
              <w:pStyle w:val="ConsPlusNormal"/>
              <w:jc w:val="center"/>
            </w:pPr>
            <w:r>
              <w:t>Кредит</w:t>
            </w:r>
          </w:p>
        </w:tc>
      </w:tr>
      <w:tr w:rsidR="00CE3E17">
        <w:tc>
          <w:tcPr>
            <w:tcW w:w="9632" w:type="dxa"/>
            <w:gridSpan w:val="4"/>
            <w:vAlign w:val="center"/>
          </w:tcPr>
          <w:p w:rsidR="00CE3E17" w:rsidRDefault="00CE3E17">
            <w:pPr>
              <w:pStyle w:val="ConsPlusNormal"/>
              <w:jc w:val="center"/>
              <w:outlineLvl w:val="1"/>
            </w:pPr>
            <w:r>
              <w:t>ТОФК, передающий показатели лицевых счетов</w:t>
            </w:r>
          </w:p>
        </w:tc>
      </w:tr>
      <w:tr w:rsidR="00CE3E17">
        <w:tc>
          <w:tcPr>
            <w:tcW w:w="594" w:type="dxa"/>
          </w:tcPr>
          <w:p w:rsidR="00CE3E17" w:rsidRDefault="00CE3E1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334" w:type="dxa"/>
          </w:tcPr>
          <w:p w:rsidR="00CE3E17" w:rsidRDefault="00CE3E17">
            <w:pPr>
              <w:pStyle w:val="ConsPlusNormal"/>
              <w:jc w:val="center"/>
            </w:pPr>
            <w:r>
              <w:t>Отражение в казначейском учете операций по передаче остатка денежных средств учреждения на начало года методом "красное сторно" межотчетным периодом</w:t>
            </w:r>
          </w:p>
        </w:tc>
        <w:tc>
          <w:tcPr>
            <w:tcW w:w="2352" w:type="dxa"/>
          </w:tcPr>
          <w:p w:rsidR="00CE3E17" w:rsidRDefault="00CE3E17">
            <w:pPr>
              <w:pStyle w:val="ConsPlusNormal"/>
              <w:jc w:val="center"/>
            </w:pPr>
            <w:r>
              <w:t>7 (8, 9) 20313 000 (20314 000)</w:t>
            </w:r>
          </w:p>
        </w:tc>
        <w:tc>
          <w:tcPr>
            <w:tcW w:w="2352" w:type="dxa"/>
          </w:tcPr>
          <w:p w:rsidR="00CE3E17" w:rsidRDefault="00CE3E17">
            <w:pPr>
              <w:pStyle w:val="ConsPlusNormal"/>
              <w:jc w:val="center"/>
            </w:pPr>
            <w:r>
              <w:t>7 (8, 9) 40230 000</w:t>
            </w:r>
          </w:p>
        </w:tc>
      </w:tr>
      <w:tr w:rsidR="00CE3E17">
        <w:tc>
          <w:tcPr>
            <w:tcW w:w="594" w:type="dxa"/>
          </w:tcPr>
          <w:p w:rsidR="00CE3E17" w:rsidRDefault="00CE3E17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334" w:type="dxa"/>
          </w:tcPr>
          <w:p w:rsidR="00CE3E17" w:rsidRDefault="00CE3E17">
            <w:pPr>
              <w:pStyle w:val="ConsPlusNormal"/>
              <w:jc w:val="center"/>
            </w:pPr>
            <w:r>
              <w:t>Отражение в казначейском учете операций по передаче кассовых поступлений методом "красное сторно"</w:t>
            </w:r>
          </w:p>
        </w:tc>
        <w:tc>
          <w:tcPr>
            <w:tcW w:w="2352" w:type="dxa"/>
          </w:tcPr>
          <w:p w:rsidR="00CE3E17" w:rsidRDefault="00CE3E17">
            <w:pPr>
              <w:pStyle w:val="ConsPlusNormal"/>
              <w:jc w:val="center"/>
            </w:pPr>
            <w:r>
              <w:t>7 (8, 9) 20313 510 (20314 510)</w:t>
            </w:r>
          </w:p>
        </w:tc>
        <w:tc>
          <w:tcPr>
            <w:tcW w:w="2352" w:type="dxa"/>
          </w:tcPr>
          <w:p w:rsidR="00CE3E17" w:rsidRDefault="00CE3E17">
            <w:pPr>
              <w:pStyle w:val="ConsPlusNormal"/>
              <w:jc w:val="center"/>
            </w:pPr>
            <w:r>
              <w:t>7 (8, 9) 30713 XXX (30714 XXX,</w:t>
            </w:r>
          </w:p>
          <w:p w:rsidR="00CE3E17" w:rsidRDefault="00CE3E17">
            <w:pPr>
              <w:pStyle w:val="ConsPlusNormal"/>
              <w:jc w:val="center"/>
            </w:pPr>
            <w:r>
              <w:t>21200 660,</w:t>
            </w:r>
          </w:p>
          <w:p w:rsidR="00CE3E17" w:rsidRDefault="00CE3E17">
            <w:pPr>
              <w:pStyle w:val="ConsPlusNormal"/>
              <w:jc w:val="center"/>
            </w:pPr>
            <w:r>
              <w:t>30900 730)</w:t>
            </w:r>
          </w:p>
        </w:tc>
      </w:tr>
      <w:tr w:rsidR="00CE3E17">
        <w:tc>
          <w:tcPr>
            <w:tcW w:w="594" w:type="dxa"/>
          </w:tcPr>
          <w:p w:rsidR="00CE3E17" w:rsidRDefault="00CE3E17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334" w:type="dxa"/>
          </w:tcPr>
          <w:p w:rsidR="00CE3E17" w:rsidRDefault="00CE3E17">
            <w:pPr>
              <w:pStyle w:val="ConsPlusNormal"/>
              <w:jc w:val="center"/>
            </w:pPr>
            <w:r>
              <w:t>Отражение в казначейском учете операций по передаче кассовых выплат методом "красное сторно"</w:t>
            </w:r>
          </w:p>
        </w:tc>
        <w:tc>
          <w:tcPr>
            <w:tcW w:w="2352" w:type="dxa"/>
          </w:tcPr>
          <w:p w:rsidR="00CE3E17" w:rsidRDefault="00CE3E17">
            <w:pPr>
              <w:pStyle w:val="ConsPlusNormal"/>
              <w:jc w:val="center"/>
            </w:pPr>
            <w:r>
              <w:t>7 (8, 9) 30713 XXX (30714 XXX,</w:t>
            </w:r>
          </w:p>
          <w:p w:rsidR="00CE3E17" w:rsidRDefault="00CE3E17">
            <w:pPr>
              <w:pStyle w:val="ConsPlusNormal"/>
              <w:jc w:val="center"/>
            </w:pPr>
            <w:r>
              <w:t>21200 560,</w:t>
            </w:r>
          </w:p>
          <w:p w:rsidR="00CE3E17" w:rsidRDefault="00CE3E17">
            <w:pPr>
              <w:pStyle w:val="ConsPlusNormal"/>
              <w:jc w:val="center"/>
            </w:pPr>
            <w:r>
              <w:t>30900 830)</w:t>
            </w:r>
          </w:p>
        </w:tc>
        <w:tc>
          <w:tcPr>
            <w:tcW w:w="2352" w:type="dxa"/>
          </w:tcPr>
          <w:p w:rsidR="00CE3E17" w:rsidRDefault="00CE3E17">
            <w:pPr>
              <w:pStyle w:val="ConsPlusNormal"/>
              <w:jc w:val="center"/>
            </w:pPr>
            <w:r>
              <w:t>7 (8, 9) 20313 610 (20314 610)</w:t>
            </w:r>
          </w:p>
        </w:tc>
      </w:tr>
      <w:tr w:rsidR="00CE3E17">
        <w:tc>
          <w:tcPr>
            <w:tcW w:w="9632" w:type="dxa"/>
            <w:gridSpan w:val="4"/>
            <w:vAlign w:val="center"/>
          </w:tcPr>
          <w:p w:rsidR="00CE3E17" w:rsidRDefault="00CE3E17">
            <w:pPr>
              <w:pStyle w:val="ConsPlusNormal"/>
              <w:jc w:val="center"/>
              <w:outlineLvl w:val="1"/>
            </w:pPr>
            <w:r>
              <w:t>ТОФК, принимающий показатели лицевых счетов</w:t>
            </w:r>
          </w:p>
        </w:tc>
      </w:tr>
      <w:tr w:rsidR="00CE3E17">
        <w:tc>
          <w:tcPr>
            <w:tcW w:w="594" w:type="dxa"/>
          </w:tcPr>
          <w:p w:rsidR="00CE3E17" w:rsidRDefault="00CE3E1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334" w:type="dxa"/>
          </w:tcPr>
          <w:p w:rsidR="00CE3E17" w:rsidRDefault="00CE3E17">
            <w:pPr>
              <w:pStyle w:val="ConsPlusNormal"/>
              <w:jc w:val="center"/>
            </w:pPr>
            <w:r>
              <w:t>Отражение в казначейском учете операций по принятию остатка денежных средств учреждения на начало года межотчетным периодом</w:t>
            </w:r>
          </w:p>
        </w:tc>
        <w:tc>
          <w:tcPr>
            <w:tcW w:w="2352" w:type="dxa"/>
          </w:tcPr>
          <w:p w:rsidR="00CE3E17" w:rsidRDefault="00CE3E17">
            <w:pPr>
              <w:pStyle w:val="ConsPlusNormal"/>
              <w:jc w:val="center"/>
            </w:pPr>
            <w:r>
              <w:t>7 (8, 9) 20313 000 (20314 000)</w:t>
            </w:r>
          </w:p>
        </w:tc>
        <w:tc>
          <w:tcPr>
            <w:tcW w:w="2352" w:type="dxa"/>
          </w:tcPr>
          <w:p w:rsidR="00CE3E17" w:rsidRDefault="00CE3E17">
            <w:pPr>
              <w:pStyle w:val="ConsPlusNormal"/>
              <w:jc w:val="center"/>
            </w:pPr>
            <w:r>
              <w:t>7 (8, 9) 40230 000</w:t>
            </w:r>
          </w:p>
        </w:tc>
      </w:tr>
      <w:tr w:rsidR="00CE3E17">
        <w:tc>
          <w:tcPr>
            <w:tcW w:w="594" w:type="dxa"/>
          </w:tcPr>
          <w:p w:rsidR="00CE3E17" w:rsidRDefault="00CE3E17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334" w:type="dxa"/>
          </w:tcPr>
          <w:p w:rsidR="00CE3E17" w:rsidRDefault="00CE3E17">
            <w:pPr>
              <w:pStyle w:val="ConsPlusNormal"/>
              <w:jc w:val="center"/>
            </w:pPr>
            <w:r>
              <w:t>Отражение в казначейском учете операций по принятию кассовых поступлений</w:t>
            </w:r>
          </w:p>
        </w:tc>
        <w:tc>
          <w:tcPr>
            <w:tcW w:w="2352" w:type="dxa"/>
          </w:tcPr>
          <w:p w:rsidR="00CE3E17" w:rsidRDefault="00CE3E17">
            <w:pPr>
              <w:pStyle w:val="ConsPlusNormal"/>
              <w:jc w:val="center"/>
            </w:pPr>
            <w:r>
              <w:t>7 (8, 9) 20313 510 (20314 510)</w:t>
            </w:r>
          </w:p>
        </w:tc>
        <w:tc>
          <w:tcPr>
            <w:tcW w:w="2352" w:type="dxa"/>
          </w:tcPr>
          <w:p w:rsidR="00CE3E17" w:rsidRDefault="00CE3E17">
            <w:pPr>
              <w:pStyle w:val="ConsPlusNormal"/>
              <w:jc w:val="center"/>
            </w:pPr>
            <w:r>
              <w:t>7 (8, 9) 30713 XXX (30714 XXX,</w:t>
            </w:r>
          </w:p>
          <w:p w:rsidR="00CE3E17" w:rsidRDefault="00CE3E17">
            <w:pPr>
              <w:pStyle w:val="ConsPlusNormal"/>
              <w:jc w:val="center"/>
            </w:pPr>
            <w:r>
              <w:t>21200 660,</w:t>
            </w:r>
          </w:p>
          <w:p w:rsidR="00CE3E17" w:rsidRDefault="00CE3E17">
            <w:pPr>
              <w:pStyle w:val="ConsPlusNormal"/>
              <w:jc w:val="center"/>
            </w:pPr>
            <w:r>
              <w:t>30900 730)</w:t>
            </w:r>
          </w:p>
        </w:tc>
      </w:tr>
      <w:tr w:rsidR="00CE3E17">
        <w:tc>
          <w:tcPr>
            <w:tcW w:w="594" w:type="dxa"/>
          </w:tcPr>
          <w:p w:rsidR="00CE3E17" w:rsidRDefault="00CE3E17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334" w:type="dxa"/>
          </w:tcPr>
          <w:p w:rsidR="00CE3E17" w:rsidRDefault="00CE3E17">
            <w:pPr>
              <w:pStyle w:val="ConsPlusNormal"/>
              <w:jc w:val="center"/>
            </w:pPr>
            <w:r>
              <w:t>Отражение в казначейском учете операций по принятию кассовых выплат</w:t>
            </w:r>
          </w:p>
        </w:tc>
        <w:tc>
          <w:tcPr>
            <w:tcW w:w="2352" w:type="dxa"/>
          </w:tcPr>
          <w:p w:rsidR="00CE3E17" w:rsidRDefault="00CE3E17">
            <w:pPr>
              <w:pStyle w:val="ConsPlusNormal"/>
              <w:jc w:val="center"/>
            </w:pPr>
            <w:r>
              <w:t>7 (8, 9) 30713 XXX (30714 XXX,</w:t>
            </w:r>
          </w:p>
          <w:p w:rsidR="00CE3E17" w:rsidRDefault="00CE3E17">
            <w:pPr>
              <w:pStyle w:val="ConsPlusNormal"/>
              <w:jc w:val="center"/>
            </w:pPr>
            <w:r>
              <w:t>21200 560,</w:t>
            </w:r>
          </w:p>
          <w:p w:rsidR="00CE3E17" w:rsidRDefault="00CE3E17">
            <w:pPr>
              <w:pStyle w:val="ConsPlusNormal"/>
              <w:jc w:val="center"/>
            </w:pPr>
            <w:r>
              <w:t>30900 830)</w:t>
            </w:r>
          </w:p>
        </w:tc>
        <w:tc>
          <w:tcPr>
            <w:tcW w:w="2352" w:type="dxa"/>
          </w:tcPr>
          <w:p w:rsidR="00CE3E17" w:rsidRDefault="00CE3E17">
            <w:pPr>
              <w:pStyle w:val="ConsPlusNormal"/>
              <w:jc w:val="center"/>
            </w:pPr>
            <w:r>
              <w:t>7 (8, 9) 20313 610 (20314 610)</w:t>
            </w:r>
          </w:p>
        </w:tc>
      </w:tr>
    </w:tbl>
    <w:p w:rsidR="00CE3E17" w:rsidRDefault="00CE3E17">
      <w:pPr>
        <w:pStyle w:val="ConsPlusNormal"/>
        <w:jc w:val="both"/>
      </w:pPr>
    </w:p>
    <w:p w:rsidR="00CE3E17" w:rsidRDefault="00CE3E17">
      <w:pPr>
        <w:pStyle w:val="ConsPlusNormal"/>
        <w:jc w:val="both"/>
      </w:pPr>
    </w:p>
    <w:p w:rsidR="00CE3E17" w:rsidRDefault="00CE3E1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54B3D" w:rsidRDefault="00754B3D">
      <w:bookmarkStart w:id="1" w:name="_GoBack"/>
      <w:bookmarkEnd w:id="1"/>
    </w:p>
    <w:sectPr w:rsidR="00754B3D" w:rsidSect="00DA42B7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E17"/>
    <w:rsid w:val="00754B3D"/>
    <w:rsid w:val="00CE3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3E1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E3E1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E3E1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3E1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E3E1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E3E1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57E675821D502076C70026314B69D6B0981461BD90608D0FD54D3E24431237BF13F995B8274N1v5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57E675821D502076C70026314B69D6B0981461BD90608D0FD54D3E24431237BF13F995B8274N1v5L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564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Гришина Майя Ивановна</dc:creator>
  <cp:lastModifiedBy>Гришина Майя Ивановна</cp:lastModifiedBy>
  <cp:revision>1</cp:revision>
  <dcterms:created xsi:type="dcterms:W3CDTF">2018-04-13T11:47:00Z</dcterms:created>
  <dcterms:modified xsi:type="dcterms:W3CDTF">2018-04-13T11:47:00Z</dcterms:modified>
</cp:coreProperties>
</file>